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60" w:line="240" w:lineRule="auto"/>
        <w:jc w:val="center"/>
        <w:rPr>
          <w:rFonts w:ascii="Sarabun" w:cs="Sarabun" w:eastAsia="Sarabun" w:hAnsi="Sarabun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vertAlign w:val="baseline"/>
          <w:rtl w:val="0"/>
        </w:rPr>
        <w:t xml:space="preserve">แบบรายงานความก้าวหน้าเป้าหมายการพัฒนาที่ยั่งยืนของประเทศไทย พ.ศ. ๒๕๕๙ – ๒๕๖๓ (Thailand’s SDGs Report 2016 - 2020)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9923"/>
          <w:tab w:val="left" w:pos="14884"/>
        </w:tabs>
        <w:spacing w:after="120" w:line="240" w:lineRule="auto"/>
        <w:rPr>
          <w:rFonts w:ascii="Sarabun" w:cs="Sarabun" w:eastAsia="Sarabun" w:hAnsi="Sarabun"/>
          <w:sz w:val="32"/>
          <w:szCs w:val="3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vertAlign w:val="baseline"/>
          <w:rtl w:val="0"/>
        </w:rPr>
        <w:t xml:space="preserve">เป้าหมายที่</w:t>
      </w:r>
      <w:r w:rsidDel="00000000" w:rsidR="00000000" w:rsidRPr="00000000">
        <w:rPr>
          <w:rFonts w:ascii="Sarabun" w:cs="Sarabun" w:eastAsia="Sarabun" w:hAnsi="Sarabun"/>
          <w:sz w:val="32"/>
          <w:szCs w:val="32"/>
          <w:vertAlign w:val="baseline"/>
          <w:rtl w:val="0"/>
        </w:rPr>
        <w:t xml:space="preserve">   6 สร้างหลักประกันเรื่องน้ำและการสุขาภิบาล ให้มีการจัดการอย่างยั่งยืนและมีสภาพพร้อมใช้สำหรับทุกคน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190500</wp:posOffset>
                </wp:positionV>
                <wp:extent cx="873442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978788" y="3780000"/>
                          <a:ext cx="87344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190500</wp:posOffset>
                </wp:positionV>
                <wp:extent cx="873442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344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tabs>
          <w:tab w:val="left" w:pos="14884"/>
        </w:tabs>
        <w:spacing w:after="120" w:line="240" w:lineRule="auto"/>
        <w:rPr>
          <w:rFonts w:ascii="Sarabun" w:cs="Sarabun" w:eastAsia="Sarabun" w:hAnsi="Sarabun"/>
          <w:sz w:val="32"/>
          <w:szCs w:val="3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vertAlign w:val="baseline"/>
          <w:rtl w:val="0"/>
        </w:rPr>
        <w:t xml:space="preserve">หน่วยงานรับผิดชอบ (กรม/กระทรวง)</w:t>
      </w:r>
      <w:r w:rsidDel="00000000" w:rsidR="00000000" w:rsidRPr="00000000">
        <w:rPr>
          <w:rFonts w:ascii="Sarabun" w:cs="Sarabun" w:eastAsia="Sarabun" w:hAnsi="Sarabun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190500</wp:posOffset>
                </wp:positionV>
                <wp:extent cx="729615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697925" y="3780000"/>
                          <a:ext cx="72961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2146300</wp:posOffset>
                </wp:positionH>
                <wp:positionV relativeFrom="paragraph">
                  <wp:posOffset>190500</wp:posOffset>
                </wp:positionV>
                <wp:extent cx="729615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961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tabs>
          <w:tab w:val="left" w:pos="7513"/>
          <w:tab w:val="left" w:pos="14884"/>
        </w:tabs>
        <w:spacing w:after="120" w:line="240" w:lineRule="auto"/>
        <w:rPr>
          <w:rFonts w:ascii="Sarabun" w:cs="Sarabun" w:eastAsia="Sarabun" w:hAnsi="Sarabun"/>
          <w:sz w:val="32"/>
          <w:szCs w:val="32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vertAlign w:val="baseline"/>
          <w:rtl w:val="0"/>
        </w:rPr>
        <w:t xml:space="preserve">ผู้ประสานงาน</w:t>
      </w:r>
      <w:r w:rsidDel="00000000" w:rsidR="00000000" w:rsidRPr="00000000">
        <w:rPr>
          <w:rFonts w:ascii="Sarabun" w:cs="Sarabun" w:eastAsia="Sarabun" w:hAnsi="Sarabun"/>
          <w:sz w:val="32"/>
          <w:szCs w:val="32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vertAlign w:val="baseline"/>
          <w:rtl w:val="0"/>
        </w:rPr>
        <w:t xml:space="preserve">                                                                          หมายเลขโทรศัพท์/ อีเมล์</w:t>
      </w:r>
      <w:r w:rsidDel="00000000" w:rsidR="00000000" w:rsidRPr="00000000">
        <w:rPr>
          <w:rFonts w:ascii="Sarabun" w:cs="Sarabun" w:eastAsia="Sarabun" w:hAnsi="Sarabun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5689600</wp:posOffset>
                </wp:positionH>
                <wp:positionV relativeFrom="paragraph">
                  <wp:posOffset>165100</wp:posOffset>
                </wp:positionV>
                <wp:extent cx="375285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9575" y="3780000"/>
                          <a:ext cx="37528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5689600</wp:posOffset>
                </wp:positionH>
                <wp:positionV relativeFrom="paragraph">
                  <wp:posOffset>165100</wp:posOffset>
                </wp:positionV>
                <wp:extent cx="375285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165100</wp:posOffset>
                </wp:positionV>
                <wp:extent cx="337185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660075" y="3780000"/>
                          <a:ext cx="33718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165100</wp:posOffset>
                </wp:positionV>
                <wp:extent cx="337185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1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51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89"/>
        <w:gridCol w:w="2353"/>
        <w:gridCol w:w="1729"/>
        <w:gridCol w:w="4281"/>
        <w:gridCol w:w="2126"/>
        <w:gridCol w:w="1948"/>
        <w:tblGridChange w:id="0">
          <w:tblGrid>
            <w:gridCol w:w="2689"/>
            <w:gridCol w:w="2353"/>
            <w:gridCol w:w="1729"/>
            <w:gridCol w:w="4281"/>
            <w:gridCol w:w="2126"/>
            <w:gridCol w:w="194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120" w:before="120" w:line="240" w:lineRule="auto"/>
              <w:jc w:val="center"/>
              <w:rPr>
                <w:rFonts w:ascii="Sarabun" w:cs="Sarabun" w:eastAsia="Sarabun" w:hAnsi="Sarabun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vertAlign w:val="baseline"/>
                <w:rtl w:val="0"/>
              </w:rPr>
              <w:t xml:space="preserve">เป้าประสงค์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120" w:before="120" w:line="240" w:lineRule="auto"/>
              <w:jc w:val="center"/>
              <w:rPr>
                <w:rFonts w:ascii="Sarabun" w:cs="Sarabun" w:eastAsia="Sarabun" w:hAnsi="Sarabun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vertAlign w:val="baseline"/>
                <w:rtl w:val="0"/>
              </w:rPr>
              <w:t xml:space="preserve">ตัวชี้วัด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120" w:before="120" w:line="240" w:lineRule="auto"/>
              <w:jc w:val="center"/>
              <w:rPr>
                <w:rFonts w:ascii="Sarabun" w:cs="Sarabun" w:eastAsia="Sarabun" w:hAnsi="Sarabun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vertAlign w:val="baseline"/>
                <w:rtl w:val="0"/>
              </w:rPr>
              <w:t xml:space="preserve">แผนงาน/โครงการสำคัญ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120" w:before="120" w:line="240" w:lineRule="auto"/>
              <w:jc w:val="center"/>
              <w:rPr>
                <w:rFonts w:ascii="Sarabun" w:cs="Sarabun" w:eastAsia="Sarabun" w:hAnsi="Sarabun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vertAlign w:val="baseline"/>
                <w:rtl w:val="0"/>
              </w:rPr>
              <w:t xml:space="preserve">ผลการดำเนินงาน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jc w:val="center"/>
              <w:rPr>
                <w:rFonts w:ascii="Sarabun" w:cs="Sarabun" w:eastAsia="Sarabun" w:hAnsi="Sarabun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vertAlign w:val="baseline"/>
                <w:rtl w:val="0"/>
              </w:rPr>
              <w:t xml:space="preserve">แนวปฏิบัติที่ดี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before="120" w:line="240" w:lineRule="auto"/>
              <w:jc w:val="center"/>
              <w:rPr>
                <w:rFonts w:ascii="Sarabun" w:cs="Sarabun" w:eastAsia="Sarabun" w:hAnsi="Sarabun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vertAlign w:val="baseline"/>
                <w:rtl w:val="0"/>
              </w:rPr>
              <w:t xml:space="preserve">(ถ้ามี)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jc w:val="center"/>
              <w:rPr>
                <w:rFonts w:ascii="Sarabun" w:cs="Sarabun" w:eastAsia="Sarabun" w:hAnsi="Sarabun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vertAlign w:val="baseline"/>
                <w:rtl w:val="0"/>
              </w:rPr>
              <w:t xml:space="preserve">ปัญหาและข้อเสนอแนะ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vertAlign w:val="baseline"/>
                <w:rtl w:val="0"/>
              </w:rPr>
              <w:t xml:space="preserve">เป้าหมายที่ 6 สร้างหลักประกันเรื่องน้ำและการสุขาภิบาล ให้มีการจัดการอย่างยั่งยืนและมีสภาพพร้อมใช้สำหรับทุกคน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vertAlign w:val="baseline"/>
                <w:rtl w:val="0"/>
              </w:rPr>
              <w:t xml:space="preserve">6.1 บรรลุเป้าหมายการให้ทุกคนเข้าถึงน้ำดื่มที่ปลอดภัยและมีราคาที่สามารถซื้อหาได้ ภายในปี พ.ศ. 2573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vertAlign w:val="baseline"/>
                <w:rtl w:val="0"/>
              </w:rPr>
              <w:t xml:space="preserve">6.1.1 สัดส่วนของประชากรที่ใช้บริการน้ำดื่มที่ได้รับการจัดการอย่างปลอดภัย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vertAlign w:val="baseline"/>
                <w:rtl w:val="0"/>
              </w:rPr>
              <w:t xml:space="preserve">6.2 บรรลุเป้าหมายการให้ทุกคนเข้าถึงการสุขาภิบาลและสุขอนามัยที่พอเพียงและเป็นธรรม และยุติการขับถ่ายในที่โล่ง โดยให้ความสนใจเป็นพิเศษต่อความต้องการของผู้หญิง เด็กหญิง และกลุ่มที่อยู่ในสถานการณ์เปราะบาง ภายในปี พ.ศ. 2573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vertAlign w:val="baseline"/>
                <w:rtl w:val="0"/>
              </w:rPr>
              <w:t xml:space="preserve">6.2.1 สัดส่วนของประชากรที่ใช้ (ก) บริการด้านการสุขาภิบาลที่ได้รับการจัดการอย่างปลอดภัย (ข) สิ่งอำนวยความสะดวกในการล้างมือด้วยสบู่ และน้ำ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highlight w:val="gree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highlight w:val="green"/>
                <w:vertAlign w:val="baseline"/>
                <w:rtl w:val="0"/>
              </w:rPr>
              <w:t xml:space="preserve">6.3 ปรับปรุงคุณภาพน้ำ โดยการลดมลพิษ ขจัดการทิ้งขยะและลดการปล่อยสารเคมีอันตรายและวัตถุอันตราย ลดสัดส่วนน้ำเสียที่ไม่ผ่านการบำบัดลงครึ่งหนึ่ง และเพิ่มการนำกลับมาใช้ใหม่และการใช้ซ้ำที่ปลอดภัยอย่างยั่งยืนทั่วโลก ภายในปี พ.ศ. 2573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vertAlign w:val="baseline"/>
                <w:rtl w:val="0"/>
              </w:rPr>
              <w:t xml:space="preserve">6.3.1 สัดส่วนของน้ำเสียครัวเรือนและอุตสาหกรรมที่ได้รับการบำบัดอย่างปลอดภัย</w:t>
            </w:r>
          </w:p>
          <w:p w:rsidR="00000000" w:rsidDel="00000000" w:rsidP="00000000" w:rsidRDefault="00000000" w:rsidRPr="00000000" w14:paraId="00000020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vertAlign w:val="baseline"/>
                <w:rtl w:val="0"/>
              </w:rPr>
              <w:t xml:space="preserve">6.3.2 สัดส่วนของแหล่งน้ำ (เช่น มหาสมุทร, ทะเล, ทะเลสาบ, แม่น้ำ, ธารน้ำ, คลอง, หรือสระน้ำ) ที่มีคุณภาพน้ำโดยรอบที่ดี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จัดการน้ําเสียจากต้นน้ํา กลาง น้ํา และปลายน้ํา ก่อนลงสู่แหล่งอาศัย ของพะยูน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ระบบจัดการน้ำเสียก่อนไหลสู่แหล่งอาศัยของพะยูน 1 ระบบ (ครอบคลุม 4 พื้นที่)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vertAlign w:val="baseline"/>
                <w:rtl w:val="0"/>
              </w:rPr>
              <w:t xml:space="preserve">6.4 เพิ่มประสิทธิภาพการใช้น้ำในทุกภาคส่วนและสร้างหลักประกันว่าจะมีการใช้น้ำและจัดหาน้ำที่ยั่งยืน เพื่อแก้ไขปัญหาการขาดแคลนน้ำ และลดจำนวนประชากรที่ประสบปัญหาการขาดแคลนน้ำ ภายในปี พ.ศ. 2573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vertAlign w:val="baseline"/>
                <w:rtl w:val="0"/>
              </w:rPr>
              <w:t xml:space="preserve">6.4.1 การเปลี่ยนแปลงของประสิทธิภาพการใช้น้ำในช่วงเวลาที่ผ่านมา</w:t>
            </w:r>
          </w:p>
          <w:p w:rsidR="00000000" w:rsidDel="00000000" w:rsidP="00000000" w:rsidRDefault="00000000" w:rsidRPr="00000000" w14:paraId="00000027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vertAlign w:val="baseline"/>
                <w:rtl w:val="0"/>
              </w:rPr>
              <w:t xml:space="preserve">6.4.2 ระดับความตึงเครียดด้านน้ำ (สัดส่วนการใช้น้ำจืดต่อปริมาณน้ำจืดทั้งหมด)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vertAlign w:val="baseline"/>
                <w:rtl w:val="0"/>
              </w:rPr>
              <w:t xml:space="preserve">6.5 ดำเนินการบริหารจัดการทรัพยากรน้ำแบบองค์รวมในทุกระดับ รวมถึงผ่านทางความร่วมมือข้ามเขตแดนตามความเหมาะสม ภายในปี พ.ศ. 2573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vertAlign w:val="baseline"/>
                <w:rtl w:val="0"/>
              </w:rPr>
              <w:t xml:space="preserve">6.5.1 ระดับการดำเนินงานการจัดการทรัพยากรน้ำแบบบูรณาการ (0-100)</w:t>
            </w:r>
          </w:p>
          <w:p w:rsidR="00000000" w:rsidDel="00000000" w:rsidP="00000000" w:rsidRDefault="00000000" w:rsidRPr="00000000" w14:paraId="0000002E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vertAlign w:val="baseline"/>
                <w:rtl w:val="0"/>
              </w:rPr>
              <w:t xml:space="preserve">6.5.2 สัดส่วนของพื้นที่ลุ่มน้ำข้ามเขตแดนที่มีการจัดการดำเนินงานเพื่อความร่วมมือด้านน้ำ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highlight w:val="gree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highlight w:val="green"/>
                <w:vertAlign w:val="baseline"/>
                <w:rtl w:val="0"/>
              </w:rPr>
              <w:t xml:space="preserve">6.6 ปกป้องและฟื้นฟูระบบนิเวศที่เกี่ยวข้องกับแหล่งน้ำ รวมถึงภูเขา ป่าไม้ พื้นที่ชุ่มน้ำ แม่น้ำ ชั้นหินอุ้มน้ำ และทะเลสาบ ภายในปี พ.ศ. 2563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vertAlign w:val="baseline"/>
                <w:rtl w:val="0"/>
              </w:rPr>
              <w:t xml:space="preserve">6.6.1 การเปลี่ยนแปลงของระบบนิเวศที่เกี่ยวข้องกับน้ำในช่วงเวลาที่ผ่านมา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highlight w:val="gree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highlight w:val="green"/>
                <w:vertAlign w:val="baseline"/>
                <w:rtl w:val="0"/>
              </w:rPr>
              <w:t xml:space="preserve">6.A ขยายความร่วมมือระหว่างประเทศและสนับสนุนการเสริมสร้างขีดความสามารถให้แก่ประเทศกำลังพัฒนาในกิจกรรมและแผนงานที่เกี่ยวข้องกับน้ำและสุขาภิบาล ซึ่งรวมถึงการเก็บกักน้ำ การขจัดเกลือ ประสิทธิภาพการใช้น้ำ การบำบัดน้ำเสีย เทคโนโลยีการนำน้ำกลับมาใช้ใหม่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vertAlign w:val="baseline"/>
                <w:rtl w:val="0"/>
              </w:rPr>
              <w:t xml:space="preserve">6.A.1 ปริมาณความช่วยเหลือเพื่อการพัฒนาอย่างเป็นทางการ (ODA) ในด้านที่เกี่ยวข้องกับน้ำและสุขาภิบาล ซึ่งเป็นส่วนหนึ่งของแผนบูรณาการการใช้จ่ายของภาครัฐ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highlight w:val="green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highlight w:val="green"/>
                <w:vertAlign w:val="baseline"/>
                <w:rtl w:val="0"/>
              </w:rPr>
              <w:t xml:space="preserve">6.B สนับสนุนและเพิ่มความเข้มแข็งในการมีส่วนร่วมของชุมชนท้องถิ่นในการพัฒนาการจัดการน้ำและสุขาภิบาล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vertAlign w:val="baseline"/>
                <w:rtl w:val="0"/>
              </w:rPr>
              <w:t xml:space="preserve">6.B.1 สัดส่วนของหน่วยงานบริหารส่วนท้องถิ่นที่จัดตั้งและวางนโยบายปฏิบัติการ และกระบวนการปฏิบัติ เพื่อการมีส่วนร่วมของชุมชนท้องถิ่นในด้านการจัดการน้ำและการสุขาภิบาล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rPr>
                <w:rFonts w:ascii="Sarabun" w:cs="Sarabun" w:eastAsia="Sarabun" w:hAnsi="Sarabun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0" w:line="240" w:lineRule="auto"/>
        <w:rPr>
          <w:rFonts w:ascii="Sarabun" w:cs="Sarabun" w:eastAsia="Sarabun" w:hAnsi="Sarabun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09" w:top="568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AdlNEtE/g54Lh/psgmzjMYwnug==">AMUW2mVI9JuYvV7raDZBqe2KYP8LC9msd4v3XYjSN8bzsfVNSTqKDaRscjNbl7a6HAfpK1XQ3yOkEqsM/e/M4MaqzTgdHtII9zw+aXKqjYRPFkukpE1WvtA=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2021-07-13T03:37:00Z</dcterms:created>
  <dc:creator>ONWR501</dc:creator>
</cp:coreProperties>
</file>